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8"/>
      </w:tblGrid>
      <w:tr w:rsidR="00477FF5" w:rsidRPr="001D11BC" w:rsidTr="009E786E">
        <w:tc>
          <w:tcPr>
            <w:tcW w:w="9778" w:type="dxa"/>
            <w:shd w:val="clear" w:color="auto" w:fill="auto"/>
          </w:tcPr>
          <w:p w:rsidR="00623295" w:rsidRPr="00516377" w:rsidRDefault="00623295" w:rsidP="00623295">
            <w:pPr>
              <w:pStyle w:val="Titolo1"/>
              <w:contextualSpacing/>
              <w:rPr>
                <w:rFonts w:ascii="Times New Roman" w:hAnsi="Times New Roman" w:cs="Times New Roman"/>
              </w:rPr>
            </w:pPr>
            <w:r w:rsidRPr="00516377">
              <w:rPr>
                <w:rFonts w:ascii="Times New Roman" w:hAnsi="Times New Roman" w:cs="Times New Roman"/>
              </w:rPr>
              <w:t>LOTTO</w:t>
            </w:r>
            <w:bookmarkStart w:id="0" w:name="_Toc102664152"/>
            <w:r w:rsidRPr="00516377">
              <w:rPr>
                <w:rFonts w:ascii="Times New Roman" w:hAnsi="Times New Roman" w:cs="Times New Roman"/>
              </w:rPr>
              <w:t xml:space="preserve"> 6 - SISTEMA DIAGNOSTICO PER LC/MS: FARMACI E ORMONI</w:t>
            </w:r>
            <w:bookmarkEnd w:id="0"/>
          </w:p>
          <w:p w:rsidR="00477FF5" w:rsidRPr="001D11BC" w:rsidRDefault="00477FF5" w:rsidP="009E786E">
            <w:pPr>
              <w:contextualSpacing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:rsidR="00477FF5" w:rsidRPr="00516377" w:rsidRDefault="00477FF5" w:rsidP="00477FF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Toc98168062"/>
      <w:bookmarkEnd w:id="1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>
              <w:rPr>
                <w:rFonts w:ascii="Times New Roman" w:hAnsi="Times New Roman" w:cs="Times New Roman"/>
                <w:b/>
              </w:rPr>
              <w:t>C</w:t>
            </w:r>
            <w:r w:rsidRPr="001D11BC">
              <w:rPr>
                <w:rFonts w:ascii="Times New Roman" w:hAnsi="Times New Roman" w:cs="Times New Roman"/>
                <w:b/>
              </w:rPr>
              <w:t xml:space="preserve">ARATTERISTICHE </w:t>
            </w:r>
            <w:r>
              <w:rPr>
                <w:rFonts w:ascii="Times New Roman" w:hAnsi="Times New Roman" w:cs="Times New Roman"/>
                <w:b/>
              </w:rPr>
              <w:t>MINIME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623295" w:rsidRPr="006E7D6D" w:rsidRDefault="00623295" w:rsidP="00623295">
            <w:pPr>
              <w:pStyle w:val="Standard"/>
              <w:spacing w:before="120" w:after="160"/>
              <w:contextualSpacing/>
              <w:jc w:val="both"/>
              <w:rPr>
                <w:b/>
                <w:bCs/>
                <w:szCs w:val="24"/>
                <w:u w:val="single"/>
              </w:rPr>
            </w:pPr>
            <w:r w:rsidRPr="006E7D6D">
              <w:rPr>
                <w:b/>
                <w:bCs/>
                <w:szCs w:val="24"/>
                <w:u w:val="single"/>
              </w:rPr>
              <w:t>per tutta la strumentazione:</w:t>
            </w:r>
          </w:p>
          <w:p w:rsidR="00623295" w:rsidRPr="006E7D6D" w:rsidRDefault="00623295" w:rsidP="00623295">
            <w:pPr>
              <w:pStyle w:val="Standard"/>
              <w:widowControl w:val="0"/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Apparecchiature nuove di fabbrica, di ultima generazione ed adeguate all’esecuzione degli esami richiesti, dotate di certificazione di rispondenza alle normative vigenti (CE-IVD per i sistemi LC-MS/MS, CE per gli HPLC e il preparatore);</w:t>
            </w:r>
          </w:p>
          <w:p w:rsidR="00477FF5" w:rsidRPr="00516377" w:rsidRDefault="00477FF5" w:rsidP="00623295">
            <w:pPr>
              <w:pStyle w:val="Standard"/>
              <w:widowControl w:val="0"/>
              <w:overflowPunct/>
              <w:spacing w:before="120" w:after="160"/>
              <w:contextualSpacing/>
              <w:jc w:val="both"/>
              <w:rPr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477FF5" w:rsidRPr="00DA7B89" w:rsidRDefault="00623295" w:rsidP="009E786E">
            <w:pPr>
              <w:suppressAutoHyphens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DA7B8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Interfacciamento tra il </w:t>
            </w:r>
            <w:proofErr w:type="spellStart"/>
            <w:r w:rsidRPr="00DA7B8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middleware</w:t>
            </w:r>
            <w:proofErr w:type="spellEnd"/>
            <w:r w:rsidRPr="00DA7B8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di Laboratorio HALIA, il preparatore e la strumentazione analitica per la gestione della lista di lavoro e della refertazione dei risultati d'analisi, tramite </w:t>
            </w:r>
            <w:proofErr w:type="spellStart"/>
            <w:r w:rsidRPr="00DA7B8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Middleware</w:t>
            </w:r>
            <w:proofErr w:type="spellEnd"/>
            <w:r w:rsidRPr="00DA7B8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dedicato</w:t>
            </w: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623295" w:rsidRPr="006E7D6D" w:rsidRDefault="00623295" w:rsidP="00623295">
            <w:pPr>
              <w:pStyle w:val="Standard"/>
              <w:widowControl w:val="0"/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Accessori (bagnetto ad ultrasuoni, essiccatore a flusso d’azoto, agitatore-incubatore per </w:t>
            </w:r>
            <w:proofErr w:type="spellStart"/>
            <w:r w:rsidRPr="006E7D6D">
              <w:rPr>
                <w:szCs w:val="24"/>
              </w:rPr>
              <w:t>micropiastre</w:t>
            </w:r>
            <w:proofErr w:type="spellEnd"/>
            <w:r w:rsidRPr="006E7D6D">
              <w:rPr>
                <w:szCs w:val="24"/>
              </w:rPr>
              <w:t xml:space="preserve"> da 96 pozzetti, centrifuga per </w:t>
            </w:r>
            <w:proofErr w:type="spellStart"/>
            <w:r w:rsidRPr="006E7D6D">
              <w:rPr>
                <w:szCs w:val="24"/>
              </w:rPr>
              <w:t>micropiastre</w:t>
            </w:r>
            <w:proofErr w:type="spellEnd"/>
            <w:r w:rsidRPr="006E7D6D">
              <w:rPr>
                <w:szCs w:val="24"/>
              </w:rPr>
              <w:t xml:space="preserve"> da 96 pozzetti, lettori di codici a barre);</w:t>
            </w:r>
            <w:r w:rsidRPr="006E7D6D">
              <w:rPr>
                <w:color w:val="FFFFFF"/>
                <w:szCs w:val="24"/>
              </w:rPr>
              <w:t>;</w:t>
            </w:r>
          </w:p>
          <w:p w:rsidR="00477FF5" w:rsidRPr="00516377" w:rsidRDefault="00477FF5" w:rsidP="009E786E">
            <w:pPr>
              <w:suppressAutoHyphens w:val="0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6E7D6D" w:rsidRDefault="00623295" w:rsidP="00623295">
            <w:pPr>
              <w:pStyle w:val="Standard"/>
              <w:widowControl w:val="0"/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b/>
                <w:bCs/>
                <w:szCs w:val="24"/>
                <w:u w:val="single"/>
              </w:rPr>
              <w:t>N. 2 Sistemi UPLC (</w:t>
            </w:r>
            <w:proofErr w:type="spellStart"/>
            <w:r w:rsidRPr="006E7D6D">
              <w:rPr>
                <w:b/>
                <w:bCs/>
                <w:szCs w:val="24"/>
                <w:u w:val="single"/>
              </w:rPr>
              <w:t>uhplc</w:t>
            </w:r>
            <w:proofErr w:type="spellEnd"/>
            <w:r w:rsidRPr="006E7D6D">
              <w:rPr>
                <w:b/>
                <w:bCs/>
                <w:szCs w:val="24"/>
                <w:u w:val="single"/>
              </w:rPr>
              <w:t>) con detector spettrometro di massa a triplo quadrupolo</w:t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477FF5" w:rsidRPr="00516377" w:rsidTr="009E786E">
        <w:trPr>
          <w:trHeight w:val="20"/>
        </w:trPr>
        <w:tc>
          <w:tcPr>
            <w:tcW w:w="7196" w:type="dxa"/>
          </w:tcPr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ind w:left="709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Pompe UHPLC in grado di gestire fino a 4 solventi con gradiente binario e ad almeno 1000 bar, che permettano di gestire metodiche che prevedano l' “SPE on-line” con adeguati sistemi di eliminazione delle Interferenze dovute ai gas disciolti nelle fasi mobili;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Intervallo di flussi selezionabili fino a 2 ml/</w:t>
            </w:r>
            <w:proofErr w:type="spellStart"/>
            <w:r w:rsidRPr="006E7D6D">
              <w:rPr>
                <w:szCs w:val="24"/>
              </w:rPr>
              <w:t>min</w:t>
            </w:r>
            <w:proofErr w:type="spellEnd"/>
            <w:r w:rsidRPr="006E7D6D">
              <w:rPr>
                <w:szCs w:val="24"/>
              </w:rPr>
              <w:t>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Precisione minima del flusso uguale o inferiore a 0,1% RSD;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Miscelazione ad alta pressione senza l’utilizzo di valvole proporzionatrici;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Intervallo di </w:t>
            </w:r>
            <w:proofErr w:type="spellStart"/>
            <w:r w:rsidRPr="006E7D6D">
              <w:rPr>
                <w:szCs w:val="24"/>
              </w:rPr>
              <w:t>pH</w:t>
            </w:r>
            <w:proofErr w:type="spellEnd"/>
            <w:r w:rsidRPr="006E7D6D">
              <w:rPr>
                <w:szCs w:val="24"/>
              </w:rPr>
              <w:t xml:space="preserve"> di lavoro 2-12;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Comparto colonne che preveda la possibilità di alloggiare almeno due colonne da 150 mm e dotato di sistema di valvole per la gestione totalmente automatica del passaggio da metodiche monodimensionali a bidimensionali e viceversa;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Modulo di </w:t>
            </w:r>
            <w:proofErr w:type="spellStart"/>
            <w:r w:rsidRPr="006E7D6D">
              <w:rPr>
                <w:szCs w:val="24"/>
              </w:rPr>
              <w:t>termostatazione</w:t>
            </w:r>
            <w:proofErr w:type="spellEnd"/>
            <w:r w:rsidRPr="006E7D6D">
              <w:rPr>
                <w:szCs w:val="24"/>
              </w:rPr>
              <w:t xml:space="preserve"> delle colonne da temperatura ambiente a 80°C;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Unico software per la gestione dell’UHPLC e dello spettrometro di massa;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Possibilità di usare colonne con particelle di diametro inferiore a 2um;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Alloggiamento di almeno 80 </w:t>
            </w:r>
            <w:proofErr w:type="spellStart"/>
            <w:r w:rsidRPr="006E7D6D">
              <w:rPr>
                <w:szCs w:val="24"/>
              </w:rPr>
              <w:t>vials</w:t>
            </w:r>
            <w:proofErr w:type="spellEnd"/>
            <w:r w:rsidRPr="006E7D6D">
              <w:rPr>
                <w:szCs w:val="24"/>
              </w:rPr>
              <w:t xml:space="preserve"> da 2 ml o 2 </w:t>
            </w:r>
            <w:proofErr w:type="spellStart"/>
            <w:r w:rsidRPr="006E7D6D">
              <w:rPr>
                <w:szCs w:val="24"/>
              </w:rPr>
              <w:t>micropiastre</w:t>
            </w:r>
            <w:proofErr w:type="spellEnd"/>
            <w:r w:rsidRPr="006E7D6D">
              <w:rPr>
                <w:szCs w:val="24"/>
              </w:rPr>
              <w:t xml:space="preserve"> da 96 pozzetti;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Volume di iniezione, profondità di inserzione dell’ago e velocità </w:t>
            </w:r>
            <w:r w:rsidRPr="006E7D6D">
              <w:rPr>
                <w:szCs w:val="24"/>
              </w:rPr>
              <w:lastRenderedPageBreak/>
              <w:t>di aspirazione/iniezione selezionabili via software o per mezzo di settaggio automatico;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proofErr w:type="spellStart"/>
            <w:r w:rsidRPr="006E7D6D">
              <w:rPr>
                <w:szCs w:val="24"/>
              </w:rPr>
              <w:t>Range</w:t>
            </w:r>
            <w:proofErr w:type="spellEnd"/>
            <w:r w:rsidRPr="006E7D6D">
              <w:rPr>
                <w:szCs w:val="24"/>
              </w:rPr>
              <w:t xml:space="preserve"> volume di iniezione da 0,1 a 50 microlitri;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proofErr w:type="spellStart"/>
            <w:r w:rsidRPr="006E7D6D">
              <w:rPr>
                <w:szCs w:val="24"/>
              </w:rPr>
              <w:t>Range</w:t>
            </w:r>
            <w:proofErr w:type="spellEnd"/>
            <w:r w:rsidRPr="006E7D6D">
              <w:rPr>
                <w:szCs w:val="24"/>
              </w:rPr>
              <w:t xml:space="preserve"> di </w:t>
            </w:r>
            <w:proofErr w:type="spellStart"/>
            <w:r w:rsidRPr="006E7D6D">
              <w:rPr>
                <w:szCs w:val="24"/>
              </w:rPr>
              <w:t>termostatazione</w:t>
            </w:r>
            <w:proofErr w:type="spellEnd"/>
            <w:r w:rsidRPr="006E7D6D">
              <w:rPr>
                <w:szCs w:val="24"/>
              </w:rPr>
              <w:t xml:space="preserve"> del vano </w:t>
            </w:r>
            <w:proofErr w:type="spellStart"/>
            <w:r w:rsidRPr="006E7D6D">
              <w:rPr>
                <w:szCs w:val="24"/>
              </w:rPr>
              <w:t>portacampioni</w:t>
            </w:r>
            <w:proofErr w:type="spellEnd"/>
            <w:r w:rsidRPr="006E7D6D">
              <w:rPr>
                <w:szCs w:val="24"/>
              </w:rPr>
              <w:t xml:space="preserve"> dell’</w:t>
            </w:r>
            <w:proofErr w:type="spellStart"/>
            <w:r w:rsidRPr="006E7D6D">
              <w:rPr>
                <w:szCs w:val="24"/>
              </w:rPr>
              <w:t>autocampionatore</w:t>
            </w:r>
            <w:proofErr w:type="spellEnd"/>
            <w:r w:rsidRPr="006E7D6D">
              <w:rPr>
                <w:szCs w:val="24"/>
              </w:rPr>
              <w:t xml:space="preserve"> da 4 a 40° C;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Spettrometro di massa compatto e </w:t>
            </w:r>
            <w:proofErr w:type="spellStart"/>
            <w:r w:rsidRPr="006E7D6D">
              <w:rPr>
                <w:szCs w:val="24"/>
              </w:rPr>
              <w:t>bench</w:t>
            </w:r>
            <w:proofErr w:type="spellEnd"/>
            <w:r w:rsidRPr="006E7D6D">
              <w:rPr>
                <w:szCs w:val="24"/>
              </w:rPr>
              <w:t xml:space="preserve"> top;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Analizzatore a triplo quadrupolo dotato di </w:t>
            </w:r>
            <w:proofErr w:type="spellStart"/>
            <w:r w:rsidRPr="006E7D6D">
              <w:rPr>
                <w:szCs w:val="24"/>
              </w:rPr>
              <w:t>prefiltri</w:t>
            </w:r>
            <w:proofErr w:type="spellEnd"/>
            <w:r w:rsidRPr="006E7D6D">
              <w:rPr>
                <w:szCs w:val="24"/>
              </w:rPr>
              <w:t>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trike/>
                <w:szCs w:val="24"/>
              </w:rPr>
            </w:pPr>
            <w:r w:rsidRPr="006E7D6D">
              <w:rPr>
                <w:szCs w:val="24"/>
              </w:rPr>
              <w:t>l’isolamento della parte a pressione atmosferica dalla parte di misura ad alto vuoto deve essere garantita senza l’utilizzo di capillari o tubi di trasferimento per il passaggio degli ioni allo scopo di ridurre effetti memoria, occlusioni del capillare stesso e la formazione di addotti;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Controllo digitale dei voltaggi relativi a lenti e analizzatori;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Sorgenti sia ESI che APCI intercambiabili;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Specifiche ESI positiva: rapporto segnale/rumore maggiore o uguale a 1.500.000; 1 per iniezione in colonna di 1 </w:t>
            </w:r>
            <w:proofErr w:type="spellStart"/>
            <w:r w:rsidRPr="006E7D6D">
              <w:rPr>
                <w:szCs w:val="24"/>
              </w:rPr>
              <w:t>pg</w:t>
            </w:r>
            <w:proofErr w:type="spellEnd"/>
            <w:r w:rsidRPr="006E7D6D">
              <w:rPr>
                <w:szCs w:val="24"/>
              </w:rPr>
              <w:t xml:space="preserve"> di reserpina (dati privi di </w:t>
            </w:r>
            <w:proofErr w:type="spellStart"/>
            <w:r w:rsidRPr="006E7D6D">
              <w:rPr>
                <w:szCs w:val="24"/>
              </w:rPr>
              <w:t>smooth</w:t>
            </w:r>
            <w:proofErr w:type="spellEnd"/>
            <w:r w:rsidRPr="006E7D6D">
              <w:rPr>
                <w:szCs w:val="24"/>
              </w:rPr>
              <w:t xml:space="preserve">, flusso 0,8 </w:t>
            </w:r>
            <w:proofErr w:type="spellStart"/>
            <w:r w:rsidRPr="006E7D6D">
              <w:rPr>
                <w:szCs w:val="24"/>
              </w:rPr>
              <w:t>mL</w:t>
            </w:r>
            <w:proofErr w:type="spellEnd"/>
            <w:r w:rsidRPr="006E7D6D">
              <w:rPr>
                <w:szCs w:val="24"/>
              </w:rPr>
              <w:t>/</w:t>
            </w:r>
            <w:proofErr w:type="spellStart"/>
            <w:r w:rsidRPr="006E7D6D">
              <w:rPr>
                <w:szCs w:val="24"/>
              </w:rPr>
              <w:t>min</w:t>
            </w:r>
            <w:proofErr w:type="spellEnd"/>
            <w:r w:rsidRPr="006E7D6D">
              <w:rPr>
                <w:szCs w:val="24"/>
              </w:rPr>
              <w:t>, transizioni 609 &gt; 195);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Velocità di scansione di almeno 10000 </w:t>
            </w:r>
            <w:proofErr w:type="spellStart"/>
            <w:r w:rsidRPr="006E7D6D">
              <w:rPr>
                <w:szCs w:val="24"/>
              </w:rPr>
              <w:t>amu</w:t>
            </w:r>
            <w:proofErr w:type="spellEnd"/>
            <w:r w:rsidRPr="006E7D6D">
              <w:rPr>
                <w:szCs w:val="24"/>
              </w:rPr>
              <w:t>/sec;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Minimo </w:t>
            </w:r>
            <w:proofErr w:type="spellStart"/>
            <w:r w:rsidRPr="006E7D6D">
              <w:rPr>
                <w:szCs w:val="24"/>
              </w:rPr>
              <w:t>dwell</w:t>
            </w:r>
            <w:proofErr w:type="spellEnd"/>
            <w:r w:rsidRPr="006E7D6D">
              <w:rPr>
                <w:szCs w:val="24"/>
              </w:rPr>
              <w:t xml:space="preserve"> time per transizioni MRM &lt; 5 </w:t>
            </w:r>
            <w:proofErr w:type="spellStart"/>
            <w:r w:rsidRPr="006E7D6D">
              <w:rPr>
                <w:szCs w:val="24"/>
              </w:rPr>
              <w:t>msec</w:t>
            </w:r>
            <w:proofErr w:type="spellEnd"/>
            <w:r w:rsidRPr="006E7D6D">
              <w:rPr>
                <w:szCs w:val="24"/>
              </w:rPr>
              <w:t>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Risoluzione di massa fra 0,5 Da e 0,75 Da;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proofErr w:type="spellStart"/>
            <w:r w:rsidRPr="006E7D6D">
              <w:rPr>
                <w:szCs w:val="24"/>
              </w:rPr>
              <w:t>Drift</w:t>
            </w:r>
            <w:proofErr w:type="spellEnd"/>
            <w:r w:rsidRPr="006E7D6D">
              <w:rPr>
                <w:szCs w:val="24"/>
              </w:rPr>
              <w:t xml:space="preserve"> </w:t>
            </w:r>
            <w:proofErr w:type="spellStart"/>
            <w:r w:rsidRPr="006E7D6D">
              <w:rPr>
                <w:szCs w:val="24"/>
              </w:rPr>
              <w:t>stability</w:t>
            </w:r>
            <w:proofErr w:type="spellEnd"/>
            <w:r w:rsidRPr="006E7D6D">
              <w:rPr>
                <w:szCs w:val="24"/>
              </w:rPr>
              <w:t>: spostamento di massa &lt; 0,1 Da nelle 24 ore (o &lt; 0,05 Da nelle 12 ore) 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Intervallo di massa analizzabile almeno da 50 a 2000 m/z;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proofErr w:type="spellStart"/>
            <w:r w:rsidRPr="006E7D6D">
              <w:rPr>
                <w:szCs w:val="24"/>
              </w:rPr>
              <w:t>Polarity</w:t>
            </w:r>
            <w:proofErr w:type="spellEnd"/>
            <w:r w:rsidRPr="006E7D6D">
              <w:rPr>
                <w:szCs w:val="24"/>
              </w:rPr>
              <w:t xml:space="preserve"> </w:t>
            </w:r>
            <w:proofErr w:type="spellStart"/>
            <w:r w:rsidRPr="006E7D6D">
              <w:rPr>
                <w:szCs w:val="24"/>
              </w:rPr>
              <w:t>switching</w:t>
            </w:r>
            <w:proofErr w:type="spellEnd"/>
            <w:r w:rsidRPr="006E7D6D">
              <w:rPr>
                <w:szCs w:val="24"/>
              </w:rPr>
              <w:t xml:space="preserve"> non superiore a 50 </w:t>
            </w:r>
            <w:proofErr w:type="spellStart"/>
            <w:r w:rsidRPr="006E7D6D">
              <w:rPr>
                <w:szCs w:val="24"/>
              </w:rPr>
              <w:t>msec</w:t>
            </w:r>
            <w:proofErr w:type="spellEnd"/>
            <w:r w:rsidRPr="006E7D6D">
              <w:rPr>
                <w:szCs w:val="24"/>
              </w:rPr>
              <w:t>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Sorgente non in asse con orifizio di entrata alla zona analisi;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Cella di collisione idonea a rapide acquisizioni in MRM senza perdite di segnale e senza effetti di cross talk fra canali MRM adiacenti;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 xml:space="preserve">Generatore d’azoto per ciascuno spettrometro sufficiente ad alimentare entrambi gli spettrometri (funzione di backup); </w:t>
            </w:r>
          </w:p>
          <w:p w:rsidR="00CD0D27" w:rsidRPr="006E7D6D" w:rsidRDefault="00CD0D27" w:rsidP="00CD0D27">
            <w:pPr>
              <w:pStyle w:val="Standard"/>
              <w:widowControl w:val="0"/>
              <w:numPr>
                <w:ilvl w:val="0"/>
                <w:numId w:val="3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6E7D6D">
              <w:rPr>
                <w:szCs w:val="24"/>
              </w:rPr>
              <w:t>Sistema di compartimentazione e insonorizzazione delle pompe rotative;</w:t>
            </w:r>
          </w:p>
          <w:p w:rsidR="00477FF5" w:rsidRPr="00516377" w:rsidRDefault="00477FF5" w:rsidP="00CD0D27">
            <w:pPr>
              <w:pStyle w:val="Standard"/>
              <w:widowControl w:val="0"/>
              <w:overflowPunct/>
              <w:spacing w:before="120" w:after="160"/>
              <w:contextualSpacing/>
              <w:jc w:val="both"/>
              <w:rPr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477FF5" w:rsidRPr="00516377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DA7B89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81B78" w:rsidP="00381B78">
            <w:pPr>
              <w:pStyle w:val="Standard"/>
              <w:spacing w:before="120" w:after="160"/>
              <w:contextualSpacing/>
              <w:jc w:val="both"/>
              <w:rPr>
                <w:b/>
                <w:bCs/>
                <w:szCs w:val="24"/>
                <w:u w:val="single"/>
              </w:rPr>
            </w:pPr>
            <w:r w:rsidRPr="00516377">
              <w:rPr>
                <w:b/>
                <w:bCs/>
                <w:szCs w:val="24"/>
                <w:u w:val="single"/>
              </w:rPr>
              <w:lastRenderedPageBreak/>
              <w:t>N. 2 Sistemi HPLC con detector ottici</w:t>
            </w:r>
            <w:r>
              <w:rPr>
                <w:b/>
                <w:bCs/>
                <w:szCs w:val="24"/>
                <w:u w:val="single"/>
              </w:rPr>
              <w:t>:</w:t>
            </w:r>
          </w:p>
          <w:p w:rsidR="00DA7B89" w:rsidRPr="006E7D6D" w:rsidRDefault="00DA7B89" w:rsidP="00DA7B89">
            <w:pPr>
              <w:pStyle w:val="Standard"/>
              <w:widowControl w:val="0"/>
              <w:overflowPunct/>
              <w:spacing w:before="120" w:after="160"/>
              <w:ind w:left="720"/>
              <w:contextualSpacing/>
              <w:jc w:val="both"/>
              <w:rPr>
                <w:szCs w:val="24"/>
              </w:rPr>
            </w:pPr>
          </w:p>
        </w:tc>
        <w:tc>
          <w:tcPr>
            <w:tcW w:w="2658" w:type="dxa"/>
          </w:tcPr>
          <w:p w:rsidR="00DA7B89" w:rsidRPr="00516377" w:rsidRDefault="00DA7B89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Sistema di pompaggio dotato di sistema di </w:t>
            </w:r>
            <w:proofErr w:type="spellStart"/>
            <w:r w:rsidRPr="00516377">
              <w:rPr>
                <w:szCs w:val="24"/>
              </w:rPr>
              <w:t>degasaggio</w:t>
            </w:r>
            <w:proofErr w:type="spellEnd"/>
            <w:r w:rsidRPr="00516377">
              <w:rPr>
                <w:szCs w:val="24"/>
              </w:rPr>
              <w:t>, senza gas ausiliari, in grado di gestire fino a 4 solventi con gradiente quaternario;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Intervallo di flussi selezionabili fino a 2 ml/</w:t>
            </w:r>
            <w:proofErr w:type="spellStart"/>
            <w:r w:rsidRPr="00516377">
              <w:rPr>
                <w:szCs w:val="24"/>
              </w:rPr>
              <w:t>min</w:t>
            </w:r>
            <w:proofErr w:type="spellEnd"/>
            <w:r w:rsidRPr="00516377">
              <w:rPr>
                <w:szCs w:val="24"/>
              </w:rPr>
              <w:t xml:space="preserve">; 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Precisione minima del flusso uguale o inferiore a 0,1% RSD;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Sistemi di sicurezza che includano sensori di perdita di solvente e diagnostica automatica;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Intervallo di </w:t>
            </w:r>
            <w:proofErr w:type="spellStart"/>
            <w:r w:rsidRPr="00516377">
              <w:rPr>
                <w:szCs w:val="24"/>
              </w:rPr>
              <w:t>pH</w:t>
            </w:r>
            <w:proofErr w:type="spellEnd"/>
            <w:r w:rsidRPr="00516377">
              <w:rPr>
                <w:szCs w:val="24"/>
              </w:rPr>
              <w:t xml:space="preserve"> di lavoro 2-12;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Possibilità di alloggio di almeno due colonne da 150 mm o una colonna da 300 mm;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Modulo di </w:t>
            </w:r>
            <w:proofErr w:type="spellStart"/>
            <w:r w:rsidRPr="00516377">
              <w:rPr>
                <w:szCs w:val="24"/>
              </w:rPr>
              <w:t>termostatazione</w:t>
            </w:r>
            <w:proofErr w:type="spellEnd"/>
            <w:r w:rsidRPr="00516377">
              <w:rPr>
                <w:szCs w:val="24"/>
              </w:rPr>
              <w:t xml:space="preserve"> delle colonne da temperatura ambiente a 80°C;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Alloggiamento di almeno 80 </w:t>
            </w:r>
            <w:proofErr w:type="spellStart"/>
            <w:r w:rsidRPr="00516377">
              <w:rPr>
                <w:szCs w:val="24"/>
              </w:rPr>
              <w:t>vials</w:t>
            </w:r>
            <w:proofErr w:type="spellEnd"/>
            <w:r w:rsidRPr="00516377">
              <w:rPr>
                <w:szCs w:val="24"/>
              </w:rPr>
              <w:t xml:space="preserve"> da 2 ml o 2 </w:t>
            </w:r>
            <w:proofErr w:type="spellStart"/>
            <w:r w:rsidRPr="00516377">
              <w:rPr>
                <w:szCs w:val="24"/>
              </w:rPr>
              <w:t>micropiastre</w:t>
            </w:r>
            <w:proofErr w:type="spellEnd"/>
            <w:r w:rsidRPr="00516377">
              <w:rPr>
                <w:szCs w:val="24"/>
              </w:rPr>
              <w:t xml:space="preserve"> da 96 </w:t>
            </w:r>
            <w:r w:rsidRPr="00516377">
              <w:rPr>
                <w:szCs w:val="24"/>
              </w:rPr>
              <w:lastRenderedPageBreak/>
              <w:t>pozzetti;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Volume di iniezione, profondità di inserzione dell'ago e velocità di aspirazione/iniezione selezionabili via software;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proofErr w:type="spellStart"/>
            <w:r w:rsidRPr="00516377">
              <w:rPr>
                <w:szCs w:val="24"/>
              </w:rPr>
              <w:t>Range</w:t>
            </w:r>
            <w:proofErr w:type="spellEnd"/>
            <w:r w:rsidRPr="00516377">
              <w:rPr>
                <w:szCs w:val="24"/>
              </w:rPr>
              <w:t xml:space="preserve"> volume di iniezione da 0,1 a 200 microlitri; 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proofErr w:type="spellStart"/>
            <w:r w:rsidRPr="00516377">
              <w:rPr>
                <w:szCs w:val="24"/>
              </w:rPr>
              <w:t>Range</w:t>
            </w:r>
            <w:proofErr w:type="spellEnd"/>
            <w:r w:rsidRPr="00516377">
              <w:rPr>
                <w:szCs w:val="24"/>
              </w:rPr>
              <w:t xml:space="preserve"> di </w:t>
            </w:r>
            <w:proofErr w:type="spellStart"/>
            <w:r w:rsidRPr="00516377">
              <w:rPr>
                <w:szCs w:val="24"/>
              </w:rPr>
              <w:t>termostatazione</w:t>
            </w:r>
            <w:proofErr w:type="spellEnd"/>
            <w:r w:rsidRPr="00516377">
              <w:rPr>
                <w:szCs w:val="24"/>
              </w:rPr>
              <w:t xml:space="preserve"> del vano porta campioni dell’</w:t>
            </w:r>
            <w:proofErr w:type="spellStart"/>
            <w:r w:rsidRPr="00516377">
              <w:rPr>
                <w:szCs w:val="24"/>
              </w:rPr>
              <w:t>autocampionatore</w:t>
            </w:r>
            <w:proofErr w:type="spellEnd"/>
            <w:r w:rsidRPr="00516377">
              <w:rPr>
                <w:szCs w:val="24"/>
              </w:rPr>
              <w:t xml:space="preserve"> da 4 a 40° C;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Cromatografo liquido (HPLC o UHPLC) con detector UV-VIS a Lunghezza d'onda variabile dotato di adeguato corredo di sorgenti per coprire con elevata potenza radiante e sensibilità l’intervallo delle lunghezze d’onda 190-700 nm </w:t>
            </w:r>
          </w:p>
          <w:p w:rsidR="00381B78" w:rsidRPr="006E7D6D" w:rsidRDefault="00381B78" w:rsidP="00CD0D27">
            <w:pPr>
              <w:pStyle w:val="Standard"/>
              <w:widowControl w:val="0"/>
              <w:numPr>
                <w:ilvl w:val="0"/>
                <w:numId w:val="7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Rivelatore Fluorimetrico (FLD)</w:t>
            </w:r>
            <w:r>
              <w:rPr>
                <w:szCs w:val="24"/>
              </w:rPr>
              <w:t xml:space="preserve"> </w:t>
            </w:r>
            <w:r w:rsidRPr="00516377">
              <w:rPr>
                <w:szCs w:val="24"/>
              </w:rPr>
              <w:t xml:space="preserve">con </w:t>
            </w:r>
            <w:proofErr w:type="spellStart"/>
            <w:r w:rsidRPr="00516377">
              <w:rPr>
                <w:szCs w:val="24"/>
              </w:rPr>
              <w:t>range</w:t>
            </w:r>
            <w:proofErr w:type="spellEnd"/>
            <w:r w:rsidRPr="00516377">
              <w:rPr>
                <w:szCs w:val="24"/>
              </w:rPr>
              <w:t xml:space="preserve"> di lunghezza d’onda da 200nm a 600nm</w:t>
            </w: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81B78" w:rsidP="00381B78">
            <w:pPr>
              <w:pStyle w:val="Standard"/>
              <w:spacing w:before="120" w:after="160"/>
              <w:contextualSpacing/>
              <w:jc w:val="both"/>
              <w:rPr>
                <w:b/>
                <w:bCs/>
                <w:szCs w:val="24"/>
                <w:u w:val="single"/>
              </w:rPr>
            </w:pPr>
            <w:r w:rsidRPr="00516377">
              <w:rPr>
                <w:b/>
                <w:bCs/>
                <w:szCs w:val="24"/>
                <w:u w:val="single"/>
              </w:rPr>
              <w:lastRenderedPageBreak/>
              <w:t>Preparatore Automatico</w:t>
            </w:r>
            <w:r>
              <w:rPr>
                <w:b/>
                <w:bCs/>
                <w:szCs w:val="24"/>
                <w:u w:val="single"/>
              </w:rPr>
              <w:t>:</w:t>
            </w:r>
          </w:p>
          <w:p w:rsidR="00381B78" w:rsidRPr="006E7D6D" w:rsidRDefault="00381B78" w:rsidP="00DA7B89">
            <w:pPr>
              <w:pStyle w:val="Standard"/>
              <w:widowControl w:val="0"/>
              <w:overflowPunct/>
              <w:spacing w:before="120" w:after="160"/>
              <w:ind w:left="720"/>
              <w:contextualSpacing/>
              <w:jc w:val="both"/>
              <w:rPr>
                <w:szCs w:val="24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Predisposto per la preparazione di </w:t>
            </w:r>
            <w:proofErr w:type="spellStart"/>
            <w:r w:rsidRPr="00516377">
              <w:rPr>
                <w:szCs w:val="24"/>
              </w:rPr>
              <w:t>micropiastrre</w:t>
            </w:r>
            <w:proofErr w:type="spellEnd"/>
            <w:r w:rsidRPr="00516377">
              <w:rPr>
                <w:szCs w:val="24"/>
              </w:rPr>
              <w:t xml:space="preserve"> (96 pozzetti) dei farmaci e di altri </w:t>
            </w:r>
            <w:proofErr w:type="spellStart"/>
            <w:r w:rsidRPr="00516377">
              <w:rPr>
                <w:szCs w:val="24"/>
              </w:rPr>
              <w:t>analiti</w:t>
            </w:r>
            <w:proofErr w:type="spellEnd"/>
            <w:r w:rsidRPr="00516377">
              <w:rPr>
                <w:szCs w:val="24"/>
              </w:rPr>
              <w:t>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trike/>
                <w:szCs w:val="24"/>
              </w:rPr>
            </w:pPr>
            <w:r w:rsidRPr="00516377">
              <w:rPr>
                <w:szCs w:val="24"/>
              </w:rPr>
              <w:t xml:space="preserve">Interfacciato ad HALIA tramite </w:t>
            </w:r>
            <w:proofErr w:type="spellStart"/>
            <w:r w:rsidRPr="00516377">
              <w:rPr>
                <w:szCs w:val="24"/>
              </w:rPr>
              <w:t>middleware</w:t>
            </w:r>
            <w:proofErr w:type="spellEnd"/>
            <w:r w:rsidRPr="00516377">
              <w:rPr>
                <w:szCs w:val="24"/>
              </w:rPr>
              <w:t>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Sistema dotato di chiusura integrale;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Sistema in grado di lavorare con puntali monouso in tutte le fasi di preparazione dei campioni;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Quattro canali di </w:t>
            </w:r>
            <w:proofErr w:type="spellStart"/>
            <w:r w:rsidRPr="00516377">
              <w:rPr>
                <w:szCs w:val="24"/>
              </w:rPr>
              <w:t>pipettamento</w:t>
            </w:r>
            <w:proofErr w:type="spellEnd"/>
            <w:r w:rsidRPr="00516377">
              <w:rPr>
                <w:szCs w:val="24"/>
              </w:rPr>
              <w:t xml:space="preserve"> movimentabili indipendentemente;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Sistema di caricamento automatico dei carrelli;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Lettura di codici a barre per provette e </w:t>
            </w:r>
            <w:proofErr w:type="spellStart"/>
            <w:r w:rsidRPr="00516377">
              <w:rPr>
                <w:szCs w:val="24"/>
              </w:rPr>
              <w:t>micropiastre</w:t>
            </w:r>
            <w:proofErr w:type="spellEnd"/>
            <w:r w:rsidRPr="00516377">
              <w:rPr>
                <w:szCs w:val="24"/>
              </w:rPr>
              <w:t xml:space="preserve"> e loro riconoscimento posizionale sul piano di lavoro;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Shaker riscaldato: </w:t>
            </w:r>
            <w:proofErr w:type="spellStart"/>
            <w:r w:rsidRPr="00516377">
              <w:rPr>
                <w:szCs w:val="24"/>
              </w:rPr>
              <w:t>range</w:t>
            </w:r>
            <w:proofErr w:type="spellEnd"/>
            <w:r w:rsidRPr="00516377">
              <w:rPr>
                <w:szCs w:val="24"/>
              </w:rPr>
              <w:t xml:space="preserve"> di lavoro TA - 100°C;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Centrifuga integrata con movimentazione di </w:t>
            </w:r>
            <w:proofErr w:type="spellStart"/>
            <w:r w:rsidRPr="00516377">
              <w:rPr>
                <w:szCs w:val="24"/>
              </w:rPr>
              <w:t>micropiastra</w:t>
            </w:r>
            <w:proofErr w:type="spellEnd"/>
            <w:r w:rsidRPr="00516377">
              <w:rPr>
                <w:szCs w:val="24"/>
              </w:rPr>
              <w:t xml:space="preserve"> tramite sistema robotico di manipolazione;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8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Piano di lavoro in grado di alloggiare almeno 25 posizioni piastra tutte </w:t>
            </w:r>
            <w:proofErr w:type="spellStart"/>
            <w:r w:rsidRPr="00516377">
              <w:rPr>
                <w:szCs w:val="24"/>
              </w:rPr>
              <w:t>pipettabili</w:t>
            </w:r>
            <w:proofErr w:type="spellEnd"/>
            <w:r w:rsidRPr="00516377">
              <w:rPr>
                <w:szCs w:val="24"/>
              </w:rPr>
              <w:t>;</w:t>
            </w:r>
          </w:p>
          <w:p w:rsidR="00381B78" w:rsidRPr="00516377" w:rsidRDefault="00381B78" w:rsidP="00381B78">
            <w:pPr>
              <w:pStyle w:val="Standard"/>
              <w:spacing w:before="120" w:after="160"/>
              <w:contextualSpacing/>
              <w:jc w:val="both"/>
              <w:rPr>
                <w:b/>
                <w:bCs/>
                <w:szCs w:val="24"/>
                <w:u w:val="single"/>
              </w:rPr>
            </w:pPr>
          </w:p>
          <w:p w:rsidR="00381B78" w:rsidRPr="006E7D6D" w:rsidRDefault="00381B78" w:rsidP="00DA7B89">
            <w:pPr>
              <w:pStyle w:val="Standard"/>
              <w:widowControl w:val="0"/>
              <w:overflowPunct/>
              <w:spacing w:before="120" w:after="160"/>
              <w:ind w:left="720"/>
              <w:contextualSpacing/>
              <w:jc w:val="both"/>
              <w:rPr>
                <w:szCs w:val="24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81B78" w:rsidP="00381B78">
            <w:pPr>
              <w:pStyle w:val="Standard"/>
              <w:spacing w:before="120" w:after="160"/>
              <w:contextualSpacing/>
              <w:jc w:val="both"/>
              <w:rPr>
                <w:b/>
                <w:bCs/>
                <w:szCs w:val="24"/>
                <w:u w:val="single"/>
              </w:rPr>
            </w:pPr>
            <w:r w:rsidRPr="00516377">
              <w:rPr>
                <w:b/>
                <w:bCs/>
                <w:szCs w:val="24"/>
                <w:u w:val="single"/>
              </w:rPr>
              <w:t>Caratteristiche e prestazioni essenziali richieste per i reagenti</w:t>
            </w:r>
            <w:r>
              <w:rPr>
                <w:b/>
                <w:bCs/>
                <w:szCs w:val="24"/>
                <w:u w:val="single"/>
              </w:rPr>
              <w:t>: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9"/>
              </w:numPr>
              <w:overflowPunct/>
              <w:spacing w:before="120" w:after="160"/>
              <w:contextualSpacing/>
              <w:jc w:val="both"/>
            </w:pPr>
            <w:r w:rsidRPr="00516377">
              <w:rPr>
                <w:szCs w:val="24"/>
              </w:rPr>
              <w:t>Certificazione CE-IVD per tutte le metodiche oggetto di gara;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9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Calibratori: liofili, con la stessa matrice del campione da analizzare, tranne che per il metodo della CDT ( non richiesto dal protocollo IFCC);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9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Controllo di Qualità Interno - CQI per almeno due livelli per ciascun </w:t>
            </w:r>
            <w:proofErr w:type="spellStart"/>
            <w:r w:rsidRPr="00516377">
              <w:rPr>
                <w:szCs w:val="24"/>
              </w:rPr>
              <w:t>analita</w:t>
            </w:r>
            <w:proofErr w:type="spellEnd"/>
            <w:r w:rsidRPr="00516377">
              <w:rPr>
                <w:szCs w:val="24"/>
              </w:rPr>
              <w:t xml:space="preserve"> dosato, liofilo, con la stessa matrice del campione da analizzare;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9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Controllo di Qualità Interno - CQI per almeno tre livelli per la metodica degli immunosoppressori e degli steroidi, liofili, con la stessa matrice del campione da analizzare;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9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Fasi mobili pronte all'uso e senza necessità di filtrazione (comprensive delle quantità necessarie per le fasi di </w:t>
            </w:r>
            <w:proofErr w:type="spellStart"/>
            <w:r w:rsidRPr="00516377">
              <w:rPr>
                <w:szCs w:val="24"/>
              </w:rPr>
              <w:t>avvinamento</w:t>
            </w:r>
            <w:proofErr w:type="spellEnd"/>
            <w:r w:rsidRPr="00516377">
              <w:rPr>
                <w:szCs w:val="24"/>
              </w:rPr>
              <w:t xml:space="preserve"> e condizionamento delle colonne) 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9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Colonne cromatografiche dedicate, testate e pronte all'uso, senza necessità di alcun condizionamento, con garanzia del </w:t>
            </w:r>
            <w:r w:rsidRPr="00516377">
              <w:rPr>
                <w:szCs w:val="24"/>
              </w:rPr>
              <w:lastRenderedPageBreak/>
              <w:t>mantenimento dell'efficienza separativa dichiarata;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9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Standard interni marcati </w:t>
            </w:r>
            <w:proofErr w:type="spellStart"/>
            <w:r w:rsidRPr="00516377">
              <w:rPr>
                <w:szCs w:val="24"/>
              </w:rPr>
              <w:t>isotopicamente</w:t>
            </w:r>
            <w:proofErr w:type="spellEnd"/>
            <w:r w:rsidRPr="00516377">
              <w:rPr>
                <w:szCs w:val="24"/>
              </w:rPr>
              <w:t xml:space="preserve"> previsti per ogni metodica/kit LC-MS/MS;</w:t>
            </w:r>
          </w:p>
          <w:p w:rsidR="00381B78" w:rsidRPr="00516377" w:rsidRDefault="00381B78" w:rsidP="00381B78">
            <w:pPr>
              <w:pStyle w:val="Standard"/>
              <w:widowControl w:val="0"/>
              <w:numPr>
                <w:ilvl w:val="0"/>
                <w:numId w:val="9"/>
              </w:numPr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>Presenza di reagenti per l'ottimizzazione dei parametri strumentali operativi (</w:t>
            </w:r>
            <w:proofErr w:type="spellStart"/>
            <w:r w:rsidRPr="00516377">
              <w:rPr>
                <w:szCs w:val="24"/>
              </w:rPr>
              <w:t>tuning</w:t>
            </w:r>
            <w:proofErr w:type="spellEnd"/>
            <w:r w:rsidRPr="00516377">
              <w:rPr>
                <w:szCs w:val="24"/>
              </w:rPr>
              <w:t xml:space="preserve"> mix);</w:t>
            </w:r>
          </w:p>
          <w:p w:rsidR="00381B78" w:rsidRPr="006E7D6D" w:rsidRDefault="00381B78" w:rsidP="00DA7B89">
            <w:pPr>
              <w:pStyle w:val="Standard"/>
              <w:widowControl w:val="0"/>
              <w:overflowPunct/>
              <w:spacing w:before="120" w:after="160"/>
              <w:ind w:left="720"/>
              <w:contextualSpacing/>
              <w:jc w:val="both"/>
              <w:rPr>
                <w:szCs w:val="24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81B78" w:rsidP="00381B78">
            <w:pPr>
              <w:pStyle w:val="NormaleWeb"/>
              <w:spacing w:after="159"/>
              <w:jc w:val="both"/>
            </w:pPr>
            <w:r w:rsidRPr="00516377">
              <w:rPr>
                <w:b/>
                <w:color w:val="000000"/>
                <w:u w:val="single"/>
              </w:rPr>
              <w:lastRenderedPageBreak/>
              <w:t>Servizio di assistenza tecnica per hardware e software</w:t>
            </w:r>
            <w:r w:rsidRPr="00516377">
              <w:rPr>
                <w:color w:val="000000"/>
              </w:rPr>
              <w:t>, con intervento on site entro 48 ore solari dalla chiamata dal lunedì al venerdì. Servizio di assistenza telefonica fornito da operatori specializzati per hardware e software 5 gg su 7 disponibile 8 ore lavorative al giorno.</w:t>
            </w:r>
          </w:p>
          <w:p w:rsidR="00381B78" w:rsidRPr="006E7D6D" w:rsidRDefault="00381B78" w:rsidP="00DA7B89">
            <w:pPr>
              <w:pStyle w:val="Standard"/>
              <w:widowControl w:val="0"/>
              <w:overflowPunct/>
              <w:spacing w:before="120" w:after="160"/>
              <w:ind w:left="720"/>
              <w:contextualSpacing/>
              <w:jc w:val="both"/>
              <w:rPr>
                <w:szCs w:val="24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6E7D6D" w:rsidRDefault="00381B78" w:rsidP="00DA7B89">
            <w:pPr>
              <w:pStyle w:val="Standard"/>
              <w:widowControl w:val="0"/>
              <w:overflowPunct/>
              <w:spacing w:before="120" w:after="160"/>
              <w:ind w:left="720"/>
              <w:contextualSpacing/>
              <w:jc w:val="both"/>
              <w:rPr>
                <w:szCs w:val="24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CD0D27" w:rsidRPr="00516377" w:rsidRDefault="00CD0D27" w:rsidP="00CD0D2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PARAMETRI OGGETTO DELLA FORNITURA</w:t>
            </w:r>
          </w:p>
          <w:p w:rsidR="00CD0D27" w:rsidRPr="00516377" w:rsidRDefault="00CD0D27" w:rsidP="00CD0D27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</w:t>
            </w: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metodiche devono essere certificate CE IVD e devono essere analizzate attraverso la piattaforma analitica indicata in tabella. Ove non specificato, in caso di </w:t>
            </w:r>
            <w:proofErr w:type="spellStart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>analiti</w:t>
            </w:r>
            <w:proofErr w:type="spellEnd"/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 presenti nell’allegato “Elenco esami” ma non in tabella sotto riportata, il concorrente potrà proporre la tecnologia che riterrà opportuna.</w:t>
            </w:r>
          </w:p>
          <w:p w:rsidR="00381B78" w:rsidRPr="006E7D6D" w:rsidRDefault="00381B78" w:rsidP="00DA7B89">
            <w:pPr>
              <w:pStyle w:val="Standard"/>
              <w:widowControl w:val="0"/>
              <w:overflowPunct/>
              <w:spacing w:before="120" w:after="160"/>
              <w:ind w:left="720"/>
              <w:contextualSpacing/>
              <w:jc w:val="both"/>
              <w:rPr>
                <w:szCs w:val="24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CD0D27" w:rsidRPr="00CD0D27" w:rsidRDefault="00CD0D27" w:rsidP="00CD0D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0D27">
              <w:rPr>
                <w:rFonts w:ascii="Times New Roman" w:hAnsi="Times New Roman" w:cs="Times New Roman"/>
                <w:b/>
                <w:sz w:val="24"/>
                <w:szCs w:val="24"/>
              </w:rPr>
              <w:t>parametr</w:t>
            </w:r>
            <w:r w:rsidRPr="00CD0D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opzionali </w:t>
            </w:r>
          </w:p>
          <w:p w:rsidR="00CD0D27" w:rsidRPr="00516377" w:rsidRDefault="00CD0D27" w:rsidP="00CD0D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6377">
              <w:rPr>
                <w:rFonts w:ascii="Times New Roman" w:hAnsi="Times New Roman" w:cs="Times New Roman"/>
                <w:sz w:val="24"/>
                <w:szCs w:val="24"/>
              </w:rPr>
              <w:t xml:space="preserve">Per le seguenti metodiche, ove non sussistente la certificazione CE-IVD saranno ammesse anche metodiche in versione RUO. Le metodiche RUO offerte dovranno essere già in uso presso Laboratori di riferimento sul territorio italiano e dovranno essere analizzate attraverso la piattaforma analitica indicata in tabella. </w:t>
            </w:r>
          </w:p>
          <w:p w:rsidR="00381B78" w:rsidRPr="006E7D6D" w:rsidRDefault="00CD0D27" w:rsidP="00CD0D27">
            <w:pPr>
              <w:pStyle w:val="Standard"/>
              <w:widowControl w:val="0"/>
              <w:overflowPunct/>
              <w:spacing w:before="120" w:after="160"/>
              <w:contextualSpacing/>
              <w:jc w:val="both"/>
              <w:rPr>
                <w:szCs w:val="24"/>
              </w:rPr>
            </w:pPr>
            <w:r w:rsidRPr="00516377">
              <w:rPr>
                <w:szCs w:val="24"/>
              </w:rPr>
              <w:t xml:space="preserve">Si richiede di </w:t>
            </w:r>
            <w:r w:rsidRPr="00CD0D27">
              <w:rPr>
                <w:bCs/>
                <w:szCs w:val="24"/>
              </w:rPr>
              <w:t>documentare, in busta tecnica</w:t>
            </w:r>
            <w:r w:rsidRPr="00516377">
              <w:rPr>
                <w:b/>
                <w:bCs/>
                <w:szCs w:val="24"/>
              </w:rPr>
              <w:t>,</w:t>
            </w:r>
            <w:r w:rsidRPr="00516377">
              <w:rPr>
                <w:szCs w:val="24"/>
              </w:rPr>
              <w:t xml:space="preserve"> i dettagli dell’applicazione in versione RUO e/o la distribuzione della soluzione presso Laboratori di riferimento sul territorio italiano</w:t>
            </w: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6E7D6D" w:rsidRDefault="00381B78" w:rsidP="00DA7B89">
            <w:pPr>
              <w:pStyle w:val="Standard"/>
              <w:widowControl w:val="0"/>
              <w:overflowPunct/>
              <w:spacing w:before="120" w:after="160"/>
              <w:ind w:left="720"/>
              <w:contextualSpacing/>
              <w:jc w:val="both"/>
              <w:rPr>
                <w:szCs w:val="24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477FF5" w:rsidRDefault="00477FF5" w:rsidP="00477FF5">
      <w:pPr>
        <w:spacing w:after="1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77FF5" w:rsidRPr="00516377" w:rsidRDefault="00477FF5" w:rsidP="00477FF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7196"/>
        <w:gridCol w:w="2658"/>
      </w:tblGrid>
      <w:tr w:rsidR="00477FF5" w:rsidRPr="00516377" w:rsidTr="009E786E">
        <w:trPr>
          <w:trHeight w:val="20"/>
        </w:trPr>
        <w:tc>
          <w:tcPr>
            <w:tcW w:w="7196" w:type="dxa"/>
            <w:vAlign w:val="center"/>
          </w:tcPr>
          <w:p w:rsidR="00477FF5" w:rsidRPr="00617608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1D11BC">
              <w:rPr>
                <w:rFonts w:ascii="Times New Roman" w:hAnsi="Times New Roman" w:cs="Times New Roman"/>
                <w:b/>
              </w:rPr>
              <w:t>CARATTERISTICHE PREFERENZIALI</w:t>
            </w:r>
          </w:p>
        </w:tc>
        <w:tc>
          <w:tcPr>
            <w:tcW w:w="2658" w:type="dxa"/>
          </w:tcPr>
          <w:p w:rsidR="00477FF5" w:rsidRPr="00A45BA4" w:rsidRDefault="00477FF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3A3A3A"/>
                <w:sz w:val="24"/>
                <w:szCs w:val="24"/>
                <w:lang w:eastAsia="it-IT"/>
              </w:rPr>
            </w:pPr>
            <w:r w:rsidRPr="00A45BA4">
              <w:rPr>
                <w:rFonts w:ascii="Times New Roman" w:hAnsi="Times New Roman"/>
                <w:b/>
                <w:szCs w:val="24"/>
              </w:rPr>
              <w:t>Indicare pagina/capitolo/paragrafo/riga di riferimento del progetto o la documentazione di riferimento</w:t>
            </w: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094759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 l'obbiettivo di aumentare la sicurezza della soluzione in uso e ridurre le non conformità relative al sistema qualità, in accordo con il nuovo regolamento Europeo “REGOLAMENTO (EU) 2017/746 DEL PARLAMENTO EUROPEO E DEL CONSIGLIO" del 5 Aprile 2017 relativo ai dispositivi medico-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diagnistici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in vitro</w:t>
            </w: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, sarà assegnato il punteggio massimo alla soluzione composta sia da tecnologie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che da software (incluso il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middleware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>) certificati CE-IVD o IVDR.</w:t>
            </w:r>
          </w:p>
          <w:p w:rsidR="00623295" w:rsidRPr="00516377" w:rsidRDefault="00623295" w:rsidP="00094759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Ai fini dell'attribuzione del punteggio la certificazione secondo la normativa DL 332 del 8/09/2000 (IVD) e quella EU 2017/746 del 5 Aprile 2017 (IVDR) saranno ritenute equivalenti. Allegare dichiarazione di conformità CE-IVD o IVDR ed eventuale numero di repertorio relativo all'iscrizione del prodotto all'albo del Ministero della Salute.</w:t>
            </w:r>
          </w:p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Saranno valutate ai fini del conteggio le seguenti categorie di prodotti: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1) Categoria 1:LC-MS/MS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2) Categoria 2:HPLC-UV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3) Categoria 3: Preparatore automatico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 xml:space="preserve">4) Categoria 4: Software di tutta la strumentazione,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middleware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incluso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 xml:space="preserve">Possibilità del modulo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autocampionatore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dell’HPLC di ospitare 100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vials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da 2mL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094759">
            <w:pPr>
              <w:suppressAutoHyphens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Sistema di pompaggio per gli HPLC: sarà valutato come elemento di pregio la possibilità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di rilevare la presenza di bolle e nello stesso tempo di eliminarle in maniera totalmente automatica effettuando un ciclo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autopurge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senza l’intervento dell’operatore, ripristinando le condizioni ottimali nella pompa. Qualora il processo di ripristino dovesse intervenire durante una sequenza analitica, sarà ritenuto elemento di pregio il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riavvio con condizionamento della colonna e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reiniezione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dell’analisi interrotta in maniera totalmente automatizzata e senza intervento dell’operatore. Relazionare.</w:t>
            </w:r>
          </w:p>
          <w:p w:rsidR="00623295" w:rsidRPr="00516377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Detector UV-VIS, controllo della temperatura della cella da 10°C a 50°C;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range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di rilevazione fino a 700nm.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Possibilità del sistema di iniezione dell’HPLC di gestire contemporaneamente fino a 4 differenti solventi di lavaggio dell’ago e della porta di iniezione.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  <w:p w:rsidR="00623295" w:rsidRPr="00516377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Capacità dello spettrometro di massa di eseguire analisi sia in modalità trappola ionica che triplo quadrupolo sullo stesso picco durante la stessa corsa cromatografica, senza necessità di ripetere l’iniezione.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Possibilità di utilizzare i gas prodotti dal generatore di azoto sia per il funzionamento della sorgente che della cella di collisione dello spettrometro, senza l’utilizzo di bombole di gas.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A33195">
        <w:trPr>
          <w:trHeight w:val="20"/>
        </w:trPr>
        <w:tc>
          <w:tcPr>
            <w:tcW w:w="7196" w:type="dxa"/>
            <w:vAlign w:val="center"/>
          </w:tcPr>
          <w:p w:rsidR="00623295" w:rsidRPr="00516377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Detector spettrometro di massa caratterizzato da tecnologia a tubo fotomoltiplicatore.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Possibilità dello spettrometro di massa di lavorare in modalità MS/MS/MS (MS3) per incrementare la sensibilità nel caso di interferenze con la matrice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Preparatore: tecnologia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pipettamento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del preparatore automatizzato senza liquidi di sistema.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Preparatore: controllo capacitivo e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pressometrico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di livello dei campioni.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Possibilità di analizzare Vitamine B1 e B6 con la stessa preparativa e utilizzando le stesse fasi mobili e colonna cromatografica.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Semplicità di allestimento dei campioni per la preparativa automatizzata, gradi di semplificazione della gestione di trasferimento dati attraverso il sistema di interfacciamento con il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middleware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HALIA e gli spettrometri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  <w:t>Saranno valutate positivamente le soluzioni atte a facilitare il caricamento dei reagenti sul preparatore e l’avvio dell’analisi a livello strumentale.</w:t>
            </w:r>
          </w:p>
          <w:p w:rsidR="00623295" w:rsidRPr="00516377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Sarà attribuito il punteggio massimo al maggior numero di standard interni marcati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isotopicamente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delle applicazioni in LC-MS/MS disponibili a catalogo rispetto alle metodiche oggetto di gara.</w:t>
            </w:r>
          </w:p>
          <w:p w:rsidR="00623295" w:rsidRPr="00516377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Pr="00516377" w:rsidRDefault="00623295" w:rsidP="00623295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Steroidi sierici e urinari: tipo di preparazione con colonnine SPE, a garanzia di un elevato grado di purezza dell’estratto e raggiungimento dei più alti livelli di sensibilità della metodica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Sarà attribuito il punteggio massimo alla ditta che offre il maggior numero di reagenti certificati secondo il Regolamento UE 2017/746 IVDR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623295" w:rsidRPr="00516377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623295" w:rsidRPr="00516377" w:rsidTr="009E786E">
        <w:trPr>
          <w:trHeight w:val="20"/>
        </w:trPr>
        <w:tc>
          <w:tcPr>
            <w:tcW w:w="7196" w:type="dxa"/>
          </w:tcPr>
          <w:p w:rsidR="00623295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Sarà attribuito il punteggio massimo al minor tempo di eluzione delle molecole per la determinazione degli immunosoppressori.</w:t>
            </w:r>
          </w:p>
          <w:p w:rsidR="00623295" w:rsidRPr="00516377" w:rsidRDefault="00623295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623295" w:rsidRPr="00516377" w:rsidRDefault="00623295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F7EFB" w:rsidRPr="00516377" w:rsidTr="009E786E">
        <w:trPr>
          <w:trHeight w:val="20"/>
        </w:trPr>
        <w:tc>
          <w:tcPr>
            <w:tcW w:w="7196" w:type="dxa"/>
          </w:tcPr>
          <w:p w:rsidR="003F7EFB" w:rsidRPr="00516377" w:rsidRDefault="003F7EFB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Determinazione degli antibiotici con la medesima piattaforma cromatografica (stessa colonne e stesse fasi mobili) utilizzata per le altre classi di farmaci.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br/>
            </w:r>
          </w:p>
        </w:tc>
        <w:tc>
          <w:tcPr>
            <w:tcW w:w="2658" w:type="dxa"/>
          </w:tcPr>
          <w:p w:rsidR="003F7EFB" w:rsidRPr="00516377" w:rsidRDefault="003F7EFB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81B78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Sarà attribuito il punteggio massimo al maggior numero di molecole disponibili nel pannello analitico delle sostanze d’abuso urinarie.</w:t>
            </w:r>
          </w:p>
          <w:p w:rsidR="00381B78" w:rsidRPr="00516377" w:rsidRDefault="00381B78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81B78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Sarà attribuito il punteggio massimo alla ditta con il maggior numero di 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installazioni a livello nazionale (laboratori pubblici e privati, negli ultimi 5 anni) per la soluzione proposta che contempli l’utilizzo del preparatore/reagenti e strumentazione/reagenti in maniera combinata.</w:t>
            </w:r>
          </w:p>
          <w:p w:rsidR="00381B78" w:rsidRPr="00516377" w:rsidRDefault="00381B78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381B78" w:rsidRPr="00516377" w:rsidRDefault="00381B78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F7EFB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 xml:space="preserve">Maggior numero di </w:t>
            </w:r>
            <w:proofErr w:type="spellStart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analiti</w:t>
            </w:r>
            <w:proofErr w:type="spellEnd"/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opzionali offerti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5163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tra quelli compresi nella tabella “parametri opzionali”</w:t>
            </w: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  <w:tr w:rsidR="00381B78" w:rsidRPr="00516377" w:rsidTr="009E786E">
        <w:trPr>
          <w:trHeight w:val="20"/>
        </w:trPr>
        <w:tc>
          <w:tcPr>
            <w:tcW w:w="7196" w:type="dxa"/>
          </w:tcPr>
          <w:p w:rsidR="00381B78" w:rsidRPr="00516377" w:rsidRDefault="00381B78" w:rsidP="00094759">
            <w:pPr>
              <w:suppressAutoHyphens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2658" w:type="dxa"/>
          </w:tcPr>
          <w:p w:rsidR="00381B78" w:rsidRPr="00516377" w:rsidRDefault="00381B78" w:rsidP="009E786E">
            <w:pPr>
              <w:suppressAutoHyphens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it-IT"/>
              </w:rPr>
            </w:pPr>
          </w:p>
        </w:tc>
      </w:tr>
    </w:tbl>
    <w:p w:rsidR="0065362A" w:rsidRDefault="0065362A"/>
    <w:sectPr w:rsidR="0065362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3D762A9"/>
    <w:multiLevelType w:val="multilevel"/>
    <w:tmpl w:val="3D44B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1AB66F5A"/>
    <w:multiLevelType w:val="multilevel"/>
    <w:tmpl w:val="3D44B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>
    <w:nsid w:val="31D577F4"/>
    <w:multiLevelType w:val="multilevel"/>
    <w:tmpl w:val="44F856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58E63D3C"/>
    <w:multiLevelType w:val="multilevel"/>
    <w:tmpl w:val="3D44B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63335CF9"/>
    <w:multiLevelType w:val="multilevel"/>
    <w:tmpl w:val="F37809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nsid w:val="6AD7095F"/>
    <w:multiLevelType w:val="multilevel"/>
    <w:tmpl w:val="7638C3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>
    <w:nsid w:val="71215B08"/>
    <w:multiLevelType w:val="multilevel"/>
    <w:tmpl w:val="35289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>
    <w:nsid w:val="784A0EFA"/>
    <w:multiLevelType w:val="multilevel"/>
    <w:tmpl w:val="3D44B4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trike w:val="0"/>
        <w:dstrike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9C8"/>
    <w:rsid w:val="000571AB"/>
    <w:rsid w:val="00381B78"/>
    <w:rsid w:val="003F7EFB"/>
    <w:rsid w:val="00477FF5"/>
    <w:rsid w:val="00623295"/>
    <w:rsid w:val="0065362A"/>
    <w:rsid w:val="00CD0D27"/>
    <w:rsid w:val="00DA7B89"/>
    <w:rsid w:val="00F6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itolo1">
    <w:name w:val="heading 1"/>
    <w:basedOn w:val="Normale"/>
    <w:next w:val="Corpotesto"/>
    <w:link w:val="Titolo1Carattere"/>
    <w:qFormat/>
    <w:rsid w:val="00623295"/>
    <w:pPr>
      <w:numPr>
        <w:numId w:val="1"/>
      </w:num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623295"/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62329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23295"/>
    <w:rPr>
      <w:rFonts w:ascii="Calibri" w:eastAsia="Calibri" w:hAnsi="Calibri" w:cs="Calibri"/>
      <w:lang w:eastAsia="zh-CN"/>
    </w:rPr>
  </w:style>
  <w:style w:type="paragraph" w:customStyle="1" w:styleId="Standard">
    <w:name w:val="Standard"/>
    <w:qFormat/>
    <w:rsid w:val="00623295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WW8Num1z0">
    <w:name w:val="WW8Num1z0"/>
    <w:rsid w:val="00381B78"/>
    <w:rPr>
      <w:rFonts w:hint="default"/>
      <w:sz w:val="24"/>
      <w:szCs w:val="24"/>
    </w:rPr>
  </w:style>
  <w:style w:type="paragraph" w:styleId="NormaleWeb">
    <w:name w:val="Normal (Web)"/>
    <w:basedOn w:val="Normale"/>
    <w:qFormat/>
    <w:rsid w:val="00381B78"/>
    <w:pPr>
      <w:widowControl/>
      <w:autoSpaceDE/>
      <w:spacing w:before="280" w:after="280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77FF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Titolo1">
    <w:name w:val="heading 1"/>
    <w:basedOn w:val="Normale"/>
    <w:next w:val="Corpotesto"/>
    <w:link w:val="Titolo1Carattere"/>
    <w:qFormat/>
    <w:rsid w:val="00623295"/>
    <w:pPr>
      <w:numPr>
        <w:numId w:val="1"/>
      </w:num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77FF5"/>
    <w:pPr>
      <w:suppressAutoHyphens/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623295"/>
    <w:rPr>
      <w:rFonts w:ascii="Calibri" w:eastAsia="Calibri" w:hAnsi="Calibri" w:cs="Calibri"/>
      <w:b/>
      <w:bCs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62329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623295"/>
    <w:rPr>
      <w:rFonts w:ascii="Calibri" w:eastAsia="Calibri" w:hAnsi="Calibri" w:cs="Calibri"/>
      <w:lang w:eastAsia="zh-CN"/>
    </w:rPr>
  </w:style>
  <w:style w:type="paragraph" w:customStyle="1" w:styleId="Standard">
    <w:name w:val="Standard"/>
    <w:qFormat/>
    <w:rsid w:val="00623295"/>
    <w:pPr>
      <w:suppressAutoHyphens/>
      <w:overflowPunct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0"/>
      <w:lang w:eastAsia="zh-CN"/>
    </w:rPr>
  </w:style>
  <w:style w:type="character" w:customStyle="1" w:styleId="WW8Num1z0">
    <w:name w:val="WW8Num1z0"/>
    <w:rsid w:val="00381B78"/>
    <w:rPr>
      <w:rFonts w:hint="default"/>
      <w:sz w:val="24"/>
      <w:szCs w:val="24"/>
    </w:rPr>
  </w:style>
  <w:style w:type="paragraph" w:styleId="NormaleWeb">
    <w:name w:val="Normal (Web)"/>
    <w:basedOn w:val="Normale"/>
    <w:qFormat/>
    <w:rsid w:val="00381B78"/>
    <w:pPr>
      <w:widowControl/>
      <w:autoSpaceDE/>
      <w:spacing w:before="280" w:after="28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1896</Words>
  <Characters>10812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Bressan</dc:creator>
  <cp:keywords/>
  <dc:description/>
  <cp:lastModifiedBy>Raffaela Zurlo</cp:lastModifiedBy>
  <cp:revision>6</cp:revision>
  <dcterms:created xsi:type="dcterms:W3CDTF">2024-07-10T06:38:00Z</dcterms:created>
  <dcterms:modified xsi:type="dcterms:W3CDTF">2024-07-11T13:39:00Z</dcterms:modified>
</cp:coreProperties>
</file>